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81" w:line="240" w:lineRule="auto"/>
        <w:ind w:left="318"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COPY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35" w:line="360" w:lineRule="auto"/>
        <w:ind w:left="535" w:right="517"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REGULATION OF THE MINISTER OF RESEARCH, TECHNOLOGY AND HIGHER EDUCATION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35" w:line="360" w:lineRule="auto"/>
        <w:ind w:left="535" w:right="517"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REPUBLIC OF INDONESIA</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720" w:lineRule="auto"/>
        <w:ind w:left="3537" w:right="3516"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NUMBER 44 YEAR 2015 ON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720" w:lineRule="auto"/>
        <w:ind w:left="0" w:right="87" w:hanging="3"/>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NATIONAL STANDARDS OF HIGHER EDUCATION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720" w:lineRule="auto"/>
        <w:ind w:left="2356" w:right="2334" w:hanging="3.0000000000001137"/>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WITH THE BLESSING OF GOD ALMIGHTY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2" w:lineRule="auto"/>
        <w:ind w:left="0" w:right="-55"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MINISTER OF RESEARCH, TECHNOLOGY AND HIGHER EDUCATION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2" w:lineRule="auto"/>
        <w:ind w:left="1578" w:right="1561"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REPUBLIC OF INDONESIA,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9760.0" w:type="dxa"/>
        <w:jc w:val="left"/>
        <w:tblInd w:w="126.0" w:type="dxa"/>
        <w:tblLayout w:type="fixed"/>
        <w:tblLook w:val="0000"/>
      </w:tblPr>
      <w:tblGrid>
        <w:gridCol w:w="1863"/>
        <w:gridCol w:w="448"/>
        <w:gridCol w:w="7449"/>
        <w:tblGridChange w:id="0">
          <w:tblGrid>
            <w:gridCol w:w="1863"/>
            <w:gridCol w:w="448"/>
            <w:gridCol w:w="7449"/>
          </w:tblGrid>
        </w:tblGridChange>
      </w:tblGrid>
      <w:tr>
        <w:trPr>
          <w:trHeight w:val="2660" w:hRule="atLeast"/>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200" w:right="0" w:hanging="9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Considering</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0" w:right="83" w:hanging="92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440" w:right="198" w:hanging="92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that in order to implement the provisions of Article 52 section (3) and Article 54 section (1) letter a, of Law Number 12 in 2012 on Higher Education, need to apply the Regulation of the Minister of Research, Technology and Higher Education on National Higher Education Standards;</w:t>
            </w:r>
          </w:p>
        </w:tc>
      </w:tr>
      <w:tr>
        <w:trPr>
          <w:trHeight w:val="3520" w:hRule="atLeast"/>
        </w:trPr>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92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 w:right="0" w:hanging="9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 view of</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92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hanging="92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92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8"/>
              </w:tabs>
              <w:spacing w:after="0" w:before="0" w:line="360" w:lineRule="auto"/>
              <w:ind w:left="447" w:right="197" w:hanging="36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Law Number 14 Year 2005 regarding Teachers and Lecturers (State Gazette of the Republic of Indonesia Year 2005 Number 157, Supplement to State Gazette Indonesia Number 4586);</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8"/>
              </w:tabs>
              <w:spacing w:after="0" w:before="0" w:line="360" w:lineRule="auto"/>
              <w:ind w:left="447" w:right="196" w:hanging="36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Law Number 12 Year 2012 on Higher Education (State Gazette of the Republic of Indonesia Year 2012 Number 158, Supplement to State Gazette Republic of Indonesia Number 5336);</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8"/>
              </w:tabs>
              <w:spacing w:after="0" w:before="0" w:line="360" w:lineRule="auto"/>
              <w:ind w:left="447" w:right="196" w:hanging="36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Government Regulation No. 4 of 2014 on the Implementation of Higher Education and Management of Higher Education (State Gazette of the Republic of Indonesia Year 2014 Number 16, Supplement to State Gazette of the Republic of Indonesia Number 5500);</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8"/>
              </w:tabs>
              <w:spacing w:after="0" w:before="0" w:line="360" w:lineRule="auto"/>
              <w:ind w:left="447" w:right="196" w:hanging="36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Presidential Regulation No. 13 of 2015 concerning the Ministry of Research, Technology and Higher Education (State Gazette of the Republic of Indonesia Year 2015 Number 14);</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8"/>
              </w:tabs>
              <w:spacing w:after="0" w:before="0" w:line="360" w:lineRule="auto"/>
              <w:ind w:left="447" w:right="196" w:hanging="36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Presidential Decree No. 121 / P of 2014 on the Establishment of the Ministry of Labor Cabinet Minister and Appointment Period 2014-2019;</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8"/>
              </w:tabs>
              <w:spacing w:after="0" w:before="0" w:line="360" w:lineRule="auto"/>
              <w:ind w:left="447" w:right="196" w:hanging="36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Regulation of the Minister of Research, Technology and Higher Education Number 15 Year 2015 on the Organization and Administration of the Ministry of Research, Technology and Higher Education (Official Gazette of the Republic of Indonesia Year 2015 Number 889);</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 w:line="261.99999999999994" w:lineRule="auto"/>
              <w:ind w:left="447" w:right="0" w:hanging="92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4">
      <w:pPr>
        <w:spacing w:line="261.99999999999994" w:lineRule="auto"/>
        <w:rPr>
          <w:sz w:val="24"/>
          <w:szCs w:val="24"/>
        </w:rPr>
        <w:sectPr>
          <w:pgSz w:h="20170" w:w="12250"/>
          <w:pgMar w:bottom="280" w:top="1940" w:left="1100" w:right="1140" w:header="720" w:footer="720"/>
          <w:pgNumType w:start="1"/>
          <w:cols w:equalWidth="0"/>
        </w:sect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7"/>
          <w:szCs w:val="7"/>
          <w:u w:val="none"/>
          <w:shd w:fill="auto" w:val="clear"/>
          <w:vertAlign w:val="baseline"/>
        </w:rPr>
      </w:pPr>
      <w:r w:rsidDel="00000000" w:rsidR="00000000" w:rsidRPr="00000000">
        <w:rPr>
          <w:rtl w:val="0"/>
        </w:rPr>
      </w:r>
    </w:p>
    <w:tbl>
      <w:tblPr>
        <w:tblStyle w:val="Table2"/>
        <w:tblW w:w="9739.0" w:type="dxa"/>
        <w:jc w:val="left"/>
        <w:tblInd w:w="147.0" w:type="dxa"/>
        <w:tblLayout w:type="fixed"/>
        <w:tblLook w:val="0000"/>
      </w:tblPr>
      <w:tblGrid>
        <w:gridCol w:w="1891"/>
        <w:gridCol w:w="421"/>
        <w:gridCol w:w="7427"/>
        <w:tblGridChange w:id="0">
          <w:tblGrid>
            <w:gridCol w:w="1891"/>
            <w:gridCol w:w="421"/>
            <w:gridCol w:w="7427"/>
          </w:tblGrid>
        </w:tblGridChange>
      </w:tblGrid>
      <w:tr>
        <w:trPr>
          <w:trHeight w:val="840" w:hRule="atLeast"/>
        </w:trPr>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9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13" w:right="0" w:hanging="9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DECIDE</w:t>
            </w:r>
            <w:r w:rsidDel="00000000" w:rsidR="00000000" w:rsidRPr="00000000">
              <w:rPr>
                <w:sz w:val="24"/>
                <w:szCs w:val="24"/>
                <w:rtl w:val="0"/>
              </w:rPr>
              <w:t xml:space="preserve">S</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tc>
      </w:tr>
      <w:tr>
        <w:trPr>
          <w:trHeight w:val="1460" w:hRule="atLeast"/>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9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 w:right="0" w:hanging="9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To establish</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9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6" w:right="0" w:hanging="9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107" w:right="198" w:hanging="92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REGULATION OF THE MINISTER OF RESEARCH, TECHNOLOGY AND HIGHER EDUCATION OF THE NATIONAL STANDARDS OF HIGHER EDUCATION.</w:t>
            </w:r>
          </w:p>
        </w:tc>
      </w:tr>
      <w:tr>
        <w:trPr>
          <w:trHeight w:val="5420" w:hRule="atLeast"/>
        </w:trPr>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70" w:line="362" w:lineRule="auto"/>
              <w:ind w:left="2460" w:right="2532" w:firstLine="866.0000000000002"/>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70" w:line="362" w:lineRule="auto"/>
              <w:ind w:left="2077" w:right="2532" w:firstLine="709.0000000000003"/>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CHAPTER I GENERAL PROVISIONS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92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70" w:right="3312" w:hanging="92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Article 1</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41" w:line="240" w:lineRule="auto"/>
              <w:ind w:left="107" w:right="0" w:hanging="92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 this Ministerial Regulation, hereinafter referred to as:</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141" w:line="360" w:lineRule="auto"/>
              <w:ind w:left="542" w:right="199"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National Standards of Higher Education is the standard unit which includes the National Education Standards, coupled with the National Standards Research, and the National Standards Community Service. </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141" w:line="360" w:lineRule="auto"/>
              <w:ind w:left="542" w:right="199"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National Education Standards are the minimum criteria of learning in higher education at universities throughout the jurisdiction of the Republic of Indonesia.</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141" w:line="360" w:lineRule="auto"/>
              <w:ind w:left="542" w:right="199"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National Research Standards is the minimum criteria of the research system in universities that apply throughout the jurisdiction of the Republic of Indonesia. </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141" w:line="360" w:lineRule="auto"/>
              <w:ind w:left="542" w:right="199"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National Standards Community Service is the minimum criteria of the system of community service in universities that applies throughout the jurisdiction of the Republic of Indonesia. </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141" w:line="360" w:lineRule="auto"/>
              <w:ind w:left="542" w:right="199"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National Qualifications Framework Indonesia, hereinafter referred to as KKNI is the hierarchy framework of the qualifications competencies which can be reconciled, equalised, and integrated amongst the fields of education and job training and work experience in order to recognise working competency in accordance with the structure of employment in various sectors. </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360" w:lineRule="auto"/>
              <w:ind w:left="542" w:right="198"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curriculum is a set of plans and arrangements regarding learning outcomes of graduates, study materials, processes, and assessments used to guide the implementation of the study programs. </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360" w:lineRule="auto"/>
              <w:ind w:left="542" w:right="198"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Higher Education is education after secondary education which includes diploma, undergraduate, master’s programs, doctoral programs, professional programs, specialist courses organised by universities based on Indonesian culture. </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360" w:lineRule="auto"/>
              <w:ind w:left="542" w:right="198"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Universities are the educational units that organise higher education. </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360" w:lineRule="auto"/>
              <w:ind w:left="542" w:right="198"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Study programs are the unit of education and learning activities that have specific curriculum and learning methods in one type of academic education, professional education and / or vocational education.</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360" w:lineRule="auto"/>
              <w:ind w:left="542" w:right="198"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Learning is the process of student interaction with lecturers and learning resources in a learning environment. </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360" w:lineRule="auto"/>
              <w:ind w:left="542" w:right="198"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Research is an activity conducted under principles and scientific methods systematically to obtain information, data, and information relating to the understanding and / or testing of a branch of knowledge and technology. </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360" w:lineRule="auto"/>
              <w:ind w:left="542" w:right="198"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Community Service is an activity of academics that utilises science and technology to promote the welfare of society and intellectual life of the nation. </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360" w:lineRule="auto"/>
              <w:ind w:left="542" w:right="198"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Semester Credit Unit, hereinafter abbreviated as credits, are measures of study activity time that is accredited to the student per week per semester in the learning process through various forms of learning or recognition of the magnitude of the success of the students in following curricular activities in a course of study. </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360" w:lineRule="auto"/>
              <w:ind w:left="542" w:right="198"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Lecturers are professional educators and scientists who have the main task of transforming, developing and disseminating science, technology through education, research, and community service. </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360" w:lineRule="auto"/>
              <w:ind w:left="542" w:right="198"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Personnel are community members who are devoted and raised to support higher education, as well as, librarians, administrative staff, laboratory assistants and technicians, as well as institutions of information engineering. </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360" w:lineRule="auto"/>
              <w:ind w:left="542" w:right="198"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Minister is the minister who holds government affairs in the field of higher education.</w:t>
            </w:r>
          </w:p>
        </w:tc>
      </w:tr>
    </w:tbl>
    <w:p w:rsidR="00000000" w:rsidDel="00000000" w:rsidP="00000000" w:rsidRDefault="00000000" w:rsidRPr="00000000" w14:paraId="00000046">
      <w:pPr>
        <w:spacing w:line="261.99999999999994" w:lineRule="auto"/>
        <w:rPr>
          <w:sz w:val="24"/>
          <w:szCs w:val="24"/>
        </w:rPr>
        <w:sectPr>
          <w:headerReference r:id="rId7" w:type="default"/>
          <w:type w:val="nextPage"/>
          <w:pgSz w:h="20170" w:w="12250"/>
          <w:pgMar w:bottom="280" w:top="1600" w:left="1100" w:right="1140" w:header="708" w:footer="0"/>
          <w:cols w:equalWidth="0"/>
        </w:sect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
        <w:tblW w:w="7521.0" w:type="dxa"/>
        <w:jc w:val="left"/>
        <w:tblInd w:w="2367.0" w:type="dxa"/>
        <w:tblLayout w:type="fixed"/>
        <w:tblLook w:val="0000"/>
      </w:tblPr>
      <w:tblGrid>
        <w:gridCol w:w="7521"/>
        <w:tblGridChange w:id="0">
          <w:tblGrid>
            <w:gridCol w:w="7521"/>
          </w:tblGrid>
        </w:tblGridChange>
      </w:tblGrid>
      <w:tr>
        <w:trPr>
          <w:trHeight w:val="1400" w:hRule="atLeast"/>
        </w:trPr>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9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 w:right="200" w:hanging="92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Article 2</w:t>
            </w:r>
          </w:p>
          <w:p w:rsidR="00000000" w:rsidDel="00000000" w:rsidP="00000000" w:rsidRDefault="00000000" w:rsidRPr="00000000" w14:paraId="0000004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635"/>
              </w:tabs>
              <w:spacing w:after="0" w:before="141" w:line="240" w:lineRule="auto"/>
              <w:ind w:left="635" w:right="0"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National Standards for Higher Education consist of:</w:t>
            </w:r>
          </w:p>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40" w:line="261.99999999999994" w:lineRule="auto"/>
              <w:ind w:left="995"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National Education Standards;</w:t>
            </w:r>
          </w:p>
          <w:p w:rsidR="00000000" w:rsidDel="00000000" w:rsidP="00000000" w:rsidRDefault="00000000" w:rsidRPr="00000000" w14:paraId="0000004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40" w:line="261.99999999999994" w:lineRule="auto"/>
              <w:ind w:left="995"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National Research Standards; and </w:t>
            </w:r>
          </w:p>
          <w:p w:rsidR="00000000" w:rsidDel="00000000" w:rsidP="00000000" w:rsidRDefault="00000000" w:rsidRPr="00000000" w14:paraId="0000004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40" w:line="261.99999999999994" w:lineRule="auto"/>
              <w:ind w:left="995"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National Community Service Standards.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40" w:line="360" w:lineRule="auto"/>
              <w:ind w:left="185" w:right="0" w:hanging="92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 National Education Standards, National Research Standards and National Community Service Standards as referred to in section (1) are an integral part in the implementation of Tridharma universities.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 w:right="200" w:hanging="92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 w:right="200" w:hanging="92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Article 3</w:t>
            </w:r>
          </w:p>
          <w:p w:rsidR="00000000" w:rsidDel="00000000" w:rsidP="00000000" w:rsidRDefault="00000000" w:rsidRPr="00000000" w14:paraId="0000005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635"/>
              </w:tabs>
              <w:spacing w:after="0" w:before="141" w:line="360" w:lineRule="auto"/>
              <w:ind w:left="635" w:right="0"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National Standards for Higher Education aim to:</w:t>
            </w:r>
          </w:p>
          <w:p w:rsidR="00000000" w:rsidDel="00000000" w:rsidP="00000000" w:rsidRDefault="00000000" w:rsidRPr="00000000" w14:paraId="0000005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140" w:line="360" w:lineRule="auto"/>
              <w:ind w:left="995"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guarantee the achievement of higher education, play a strategic role in the intellectual life of the nation, advance science and technology by applying the value of the humanities as well as the cultivation and sustainable empowerment of the Indonesian nation; </w:t>
            </w:r>
          </w:p>
          <w:p w:rsidR="00000000" w:rsidDel="00000000" w:rsidP="00000000" w:rsidRDefault="00000000" w:rsidRPr="00000000" w14:paraId="0000005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140" w:line="360" w:lineRule="auto"/>
              <w:ind w:left="995"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ensure that learning in study programs, research, and community service is organised by the universities in all the jurisdictions of the Republic of Indonesia to achieve quality in accordance with the criteria set out in National Standards of Higher Education; and </w:t>
            </w:r>
          </w:p>
          <w:p w:rsidR="00000000" w:rsidDel="00000000" w:rsidP="00000000" w:rsidRDefault="00000000" w:rsidRPr="00000000" w14:paraId="0000005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995"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encourage universities throughout the jurisdiction of the Republic of Indonesia to achieve quality of learning, research, and community service that exceeds the criteria set out in National Standards of Higher Education in a sustainable manner.</w:t>
            </w:r>
          </w:p>
          <w:p w:rsidR="00000000" w:rsidDel="00000000" w:rsidP="00000000" w:rsidRDefault="00000000" w:rsidRPr="00000000" w14:paraId="0000005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635" w:right="0" w:hanging="43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National Standards for Higher Education shall:</w:t>
            </w:r>
          </w:p>
          <w:p w:rsidR="00000000" w:rsidDel="00000000" w:rsidP="00000000" w:rsidRDefault="00000000" w:rsidRPr="00000000" w14:paraId="0000005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035" w:right="0" w:hanging="40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be met by each university to achieve national education goals; </w:t>
            </w:r>
          </w:p>
          <w:p w:rsidR="00000000" w:rsidDel="00000000" w:rsidP="00000000" w:rsidRDefault="00000000" w:rsidRPr="00000000" w14:paraId="0000005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035" w:right="0" w:hanging="40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be used as a basis for granting permits for the establishment of universities and permit the opening of study programs; </w:t>
            </w:r>
          </w:p>
          <w:p w:rsidR="00000000" w:rsidDel="00000000" w:rsidP="00000000" w:rsidRDefault="00000000" w:rsidRPr="00000000" w14:paraId="0000005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035" w:right="0" w:hanging="40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be used as a basis for organising learning based curriculum for study programs;</w:t>
            </w:r>
          </w:p>
          <w:p w:rsidR="00000000" w:rsidDel="00000000" w:rsidP="00000000" w:rsidRDefault="00000000" w:rsidRPr="00000000" w14:paraId="0000005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035" w:right="0" w:hanging="40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be used as a basis for organising research and community service; </w:t>
            </w:r>
          </w:p>
          <w:p w:rsidR="00000000" w:rsidDel="00000000" w:rsidP="00000000" w:rsidRDefault="00000000" w:rsidRPr="00000000" w14:paraId="0000005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035" w:right="0" w:hanging="40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be used as a basis for developing and executing internal quality assurance systems; and </w:t>
            </w:r>
          </w:p>
          <w:p w:rsidR="00000000" w:rsidDel="00000000" w:rsidP="00000000" w:rsidRDefault="00000000" w:rsidRPr="00000000" w14:paraId="0000005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035" w:right="0" w:hanging="42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be used as the basis for setting criteria for external quality assurance systems through accreditation. </w:t>
            </w:r>
          </w:p>
        </w:tc>
      </w:tr>
    </w:tb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7"/>
          <w:szCs w:val="7"/>
          <w:u w:val="none"/>
          <w:shd w:fill="auto" w:val="clear"/>
          <w:vertAlign w:val="baseline"/>
        </w:rPr>
      </w:pPr>
      <w:r w:rsidDel="00000000" w:rsidR="00000000" w:rsidRPr="00000000">
        <w:rPr>
          <w:rtl w:val="0"/>
        </w:rPr>
      </w:r>
    </w:p>
    <w:sectPr>
      <w:type w:val="nextPage"/>
      <w:pgSz w:h="20170" w:w="12250"/>
      <w:pgMar w:bottom="280" w:top="1600" w:left="1100" w:right="1140" w:header="708"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431800</wp:posOffset>
              </wp:positionV>
              <wp:extent cx="443865" cy="213995"/>
              <wp:effectExtent b="0" l="0" r="0" t="0"/>
              <wp:wrapNone/>
              <wp:docPr id="1" name=""/>
              <a:graphic>
                <a:graphicData uri="http://schemas.microsoft.com/office/word/2010/wordprocessingShape">
                  <wps:wsp>
                    <wps:cNvSpPr/>
                    <wps:cNvPr id="2" name="Shape 2"/>
                    <wps:spPr>
                      <a:xfrm>
                        <a:off x="5827330" y="3677765"/>
                        <a:ext cx="434340" cy="204470"/>
                      </a:xfrm>
                      <a:custGeom>
                        <a:rect b="b" l="l" r="r" t="t"/>
                        <a:pathLst>
                          <a:path extrusionOk="0" h="204470" w="434340">
                            <a:moveTo>
                              <a:pt x="0" y="0"/>
                            </a:moveTo>
                            <a:lnTo>
                              <a:pt x="0" y="204470"/>
                            </a:lnTo>
                            <a:lnTo>
                              <a:pt x="434340" y="204470"/>
                            </a:lnTo>
                            <a:lnTo>
                              <a:pt x="434340" y="0"/>
                            </a:lnTo>
                            <a:close/>
                          </a:path>
                        </a:pathLst>
                      </a:custGeom>
                      <a:noFill/>
                      <a:ln>
                        <a:noFill/>
                      </a:ln>
                    </wps:spPr>
                    <wps:txbx>
                      <w:txbxContent>
                        <w:p w:rsidR="00000000" w:rsidDel="00000000" w:rsidP="00000000" w:rsidRDefault="00000000" w:rsidRPr="00000000">
                          <w:pPr>
                            <w:spacing w:after="0" w:before="18.99999976158142" w:line="240"/>
                            <w:ind w:left="2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24"/>
                              <w:vertAlign w:val="baseline"/>
                            </w:rPr>
                            <w:t xml:space="preserve">-  PAGE 2 -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431800</wp:posOffset>
              </wp:positionV>
              <wp:extent cx="443865" cy="21399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43865" cy="2139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2" w:hanging="435"/>
      </w:pPr>
      <w:rPr>
        <w:rFonts w:ascii="Bookman Old Style" w:cs="Bookman Old Style" w:eastAsia="Bookman Old Style" w:hAnsi="Bookman Old Style"/>
        <w:sz w:val="24"/>
        <w:szCs w:val="24"/>
      </w:rPr>
    </w:lvl>
    <w:lvl w:ilvl="1">
      <w:start w:val="1"/>
      <w:numFmt w:val="bullet"/>
      <w:lvlText w:val="•"/>
      <w:lvlJc w:val="left"/>
      <w:pPr>
        <w:ind w:left="1228" w:hanging="435"/>
      </w:pPr>
      <w:rPr/>
    </w:lvl>
    <w:lvl w:ilvl="2">
      <w:start w:val="1"/>
      <w:numFmt w:val="bullet"/>
      <w:lvlText w:val="•"/>
      <w:lvlJc w:val="left"/>
      <w:pPr>
        <w:ind w:left="1917" w:hanging="435"/>
      </w:pPr>
      <w:rPr/>
    </w:lvl>
    <w:lvl w:ilvl="3">
      <w:start w:val="1"/>
      <w:numFmt w:val="bullet"/>
      <w:lvlText w:val="•"/>
      <w:lvlJc w:val="left"/>
      <w:pPr>
        <w:ind w:left="2606" w:hanging="435"/>
      </w:pPr>
      <w:rPr/>
    </w:lvl>
    <w:lvl w:ilvl="4">
      <w:start w:val="1"/>
      <w:numFmt w:val="bullet"/>
      <w:lvlText w:val="•"/>
      <w:lvlJc w:val="left"/>
      <w:pPr>
        <w:ind w:left="3294" w:hanging="435"/>
      </w:pPr>
      <w:rPr/>
    </w:lvl>
    <w:lvl w:ilvl="5">
      <w:start w:val="1"/>
      <w:numFmt w:val="bullet"/>
      <w:lvlText w:val="•"/>
      <w:lvlJc w:val="left"/>
      <w:pPr>
        <w:ind w:left="3983" w:hanging="435"/>
      </w:pPr>
      <w:rPr/>
    </w:lvl>
    <w:lvl w:ilvl="6">
      <w:start w:val="1"/>
      <w:numFmt w:val="bullet"/>
      <w:lvlText w:val="•"/>
      <w:lvlJc w:val="left"/>
      <w:pPr>
        <w:ind w:left="4672" w:hanging="435"/>
      </w:pPr>
      <w:rPr/>
    </w:lvl>
    <w:lvl w:ilvl="7">
      <w:start w:val="1"/>
      <w:numFmt w:val="bullet"/>
      <w:lvlText w:val="•"/>
      <w:lvlJc w:val="left"/>
      <w:pPr>
        <w:ind w:left="5360" w:hanging="435"/>
      </w:pPr>
      <w:rPr/>
    </w:lvl>
    <w:lvl w:ilvl="8">
      <w:start w:val="1"/>
      <w:numFmt w:val="bullet"/>
      <w:lvlText w:val="•"/>
      <w:lvlJc w:val="left"/>
      <w:pPr>
        <w:ind w:left="6049" w:hanging="435"/>
      </w:pPr>
      <w:rPr/>
    </w:lvl>
  </w:abstractNum>
  <w:abstractNum w:abstractNumId="2">
    <w:lvl w:ilvl="0">
      <w:start w:val="1"/>
      <w:numFmt w:val="decimal"/>
      <w:lvlText w:val="%1."/>
      <w:lvlJc w:val="left"/>
      <w:pPr>
        <w:ind w:left="447" w:hanging="361"/>
      </w:pPr>
      <w:rPr>
        <w:rFonts w:ascii="Bookman Old Style" w:cs="Bookman Old Style" w:eastAsia="Bookman Old Style" w:hAnsi="Bookman Old Style"/>
        <w:sz w:val="24"/>
        <w:szCs w:val="24"/>
      </w:rPr>
    </w:lvl>
    <w:lvl w:ilvl="1">
      <w:start w:val="1"/>
      <w:numFmt w:val="bullet"/>
      <w:lvlText w:val="•"/>
      <w:lvlJc w:val="left"/>
      <w:pPr>
        <w:ind w:left="1140" w:hanging="361"/>
      </w:pPr>
      <w:rPr/>
    </w:lvl>
    <w:lvl w:ilvl="2">
      <w:start w:val="1"/>
      <w:numFmt w:val="bullet"/>
      <w:lvlText w:val="•"/>
      <w:lvlJc w:val="left"/>
      <w:pPr>
        <w:ind w:left="1841" w:hanging="361"/>
      </w:pPr>
      <w:rPr/>
    </w:lvl>
    <w:lvl w:ilvl="3">
      <w:start w:val="1"/>
      <w:numFmt w:val="bullet"/>
      <w:lvlText w:val="•"/>
      <w:lvlJc w:val="left"/>
      <w:pPr>
        <w:ind w:left="2542" w:hanging="361"/>
      </w:pPr>
      <w:rPr/>
    </w:lvl>
    <w:lvl w:ilvl="4">
      <w:start w:val="1"/>
      <w:numFmt w:val="bullet"/>
      <w:lvlText w:val="•"/>
      <w:lvlJc w:val="left"/>
      <w:pPr>
        <w:ind w:left="3243" w:hanging="361"/>
      </w:pPr>
      <w:rPr/>
    </w:lvl>
    <w:lvl w:ilvl="5">
      <w:start w:val="1"/>
      <w:numFmt w:val="bullet"/>
      <w:lvlText w:val="•"/>
      <w:lvlJc w:val="left"/>
      <w:pPr>
        <w:ind w:left="3944" w:hanging="361.00000000000045"/>
      </w:pPr>
      <w:rPr/>
    </w:lvl>
    <w:lvl w:ilvl="6">
      <w:start w:val="1"/>
      <w:numFmt w:val="bullet"/>
      <w:lvlText w:val="•"/>
      <w:lvlJc w:val="left"/>
      <w:pPr>
        <w:ind w:left="4645" w:hanging="361"/>
      </w:pPr>
      <w:rPr/>
    </w:lvl>
    <w:lvl w:ilvl="7">
      <w:start w:val="1"/>
      <w:numFmt w:val="bullet"/>
      <w:lvlText w:val="•"/>
      <w:lvlJc w:val="left"/>
      <w:pPr>
        <w:ind w:left="5346" w:hanging="361"/>
      </w:pPr>
      <w:rPr/>
    </w:lvl>
    <w:lvl w:ilvl="8">
      <w:start w:val="1"/>
      <w:numFmt w:val="bullet"/>
      <w:lvlText w:val="•"/>
      <w:lvlJc w:val="left"/>
      <w:pPr>
        <w:ind w:left="6047" w:hanging="361"/>
      </w:pPr>
      <w:rPr/>
    </w:lvl>
  </w:abstractNum>
  <w:abstractNum w:abstractNumId="3">
    <w:lvl w:ilvl="0">
      <w:start w:val="1"/>
      <w:numFmt w:val="lowerLetter"/>
      <w:lvlText w:val="%1."/>
      <w:lvlJc w:val="left"/>
      <w:pPr>
        <w:ind w:left="995" w:hanging="360"/>
      </w:pPr>
      <w:rPr/>
    </w:lvl>
    <w:lvl w:ilvl="1">
      <w:start w:val="1"/>
      <w:numFmt w:val="lowerLetter"/>
      <w:lvlText w:val="%2."/>
      <w:lvlJc w:val="left"/>
      <w:pPr>
        <w:ind w:left="1715" w:hanging="360"/>
      </w:pPr>
      <w:rPr/>
    </w:lvl>
    <w:lvl w:ilvl="2">
      <w:start w:val="1"/>
      <w:numFmt w:val="lowerRoman"/>
      <w:lvlText w:val="%3."/>
      <w:lvlJc w:val="right"/>
      <w:pPr>
        <w:ind w:left="2435" w:hanging="180"/>
      </w:pPr>
      <w:rPr/>
    </w:lvl>
    <w:lvl w:ilvl="3">
      <w:start w:val="1"/>
      <w:numFmt w:val="decimal"/>
      <w:lvlText w:val="%4."/>
      <w:lvlJc w:val="left"/>
      <w:pPr>
        <w:ind w:left="3155" w:hanging="360"/>
      </w:pPr>
      <w:rPr/>
    </w:lvl>
    <w:lvl w:ilvl="4">
      <w:start w:val="1"/>
      <w:numFmt w:val="lowerLetter"/>
      <w:lvlText w:val="%5."/>
      <w:lvlJc w:val="left"/>
      <w:pPr>
        <w:ind w:left="3875" w:hanging="360"/>
      </w:pPr>
      <w:rPr/>
    </w:lvl>
    <w:lvl w:ilvl="5">
      <w:start w:val="1"/>
      <w:numFmt w:val="lowerRoman"/>
      <w:lvlText w:val="%6."/>
      <w:lvlJc w:val="right"/>
      <w:pPr>
        <w:ind w:left="4595" w:hanging="180"/>
      </w:pPr>
      <w:rPr/>
    </w:lvl>
    <w:lvl w:ilvl="6">
      <w:start w:val="1"/>
      <w:numFmt w:val="decimal"/>
      <w:lvlText w:val="%7."/>
      <w:lvlJc w:val="left"/>
      <w:pPr>
        <w:ind w:left="5315" w:hanging="360"/>
      </w:pPr>
      <w:rPr/>
    </w:lvl>
    <w:lvl w:ilvl="7">
      <w:start w:val="1"/>
      <w:numFmt w:val="lowerLetter"/>
      <w:lvlText w:val="%8."/>
      <w:lvlJc w:val="left"/>
      <w:pPr>
        <w:ind w:left="6035" w:hanging="360"/>
      </w:pPr>
      <w:rPr/>
    </w:lvl>
    <w:lvl w:ilvl="8">
      <w:start w:val="1"/>
      <w:numFmt w:val="lowerRoman"/>
      <w:lvlText w:val="%9."/>
      <w:lvlJc w:val="right"/>
      <w:pPr>
        <w:ind w:left="6755" w:hanging="180"/>
      </w:pPr>
      <w:rPr/>
    </w:lvl>
  </w:abstractNum>
  <w:abstractNum w:abstractNumId="4">
    <w:lvl w:ilvl="0">
      <w:start w:val="1"/>
      <w:numFmt w:val="lowerLetter"/>
      <w:lvlText w:val="%1."/>
      <w:lvlJc w:val="left"/>
      <w:pPr>
        <w:ind w:left="1445" w:hanging="810"/>
      </w:pPr>
      <w:rPr/>
    </w:lvl>
    <w:lvl w:ilvl="1">
      <w:start w:val="1"/>
      <w:numFmt w:val="lowerLetter"/>
      <w:lvlText w:val="%2."/>
      <w:lvlJc w:val="left"/>
      <w:pPr>
        <w:ind w:left="1715" w:hanging="360"/>
      </w:pPr>
      <w:rPr/>
    </w:lvl>
    <w:lvl w:ilvl="2">
      <w:start w:val="1"/>
      <w:numFmt w:val="lowerRoman"/>
      <w:lvlText w:val="%3."/>
      <w:lvlJc w:val="right"/>
      <w:pPr>
        <w:ind w:left="2435" w:hanging="180"/>
      </w:pPr>
      <w:rPr/>
    </w:lvl>
    <w:lvl w:ilvl="3">
      <w:start w:val="1"/>
      <w:numFmt w:val="decimal"/>
      <w:lvlText w:val="%4."/>
      <w:lvlJc w:val="left"/>
      <w:pPr>
        <w:ind w:left="3155" w:hanging="360"/>
      </w:pPr>
      <w:rPr/>
    </w:lvl>
    <w:lvl w:ilvl="4">
      <w:start w:val="1"/>
      <w:numFmt w:val="lowerLetter"/>
      <w:lvlText w:val="%5."/>
      <w:lvlJc w:val="left"/>
      <w:pPr>
        <w:ind w:left="3875" w:hanging="360"/>
      </w:pPr>
      <w:rPr/>
    </w:lvl>
    <w:lvl w:ilvl="5">
      <w:start w:val="1"/>
      <w:numFmt w:val="lowerRoman"/>
      <w:lvlText w:val="%6."/>
      <w:lvlJc w:val="right"/>
      <w:pPr>
        <w:ind w:left="4595" w:hanging="180"/>
      </w:pPr>
      <w:rPr/>
    </w:lvl>
    <w:lvl w:ilvl="6">
      <w:start w:val="1"/>
      <w:numFmt w:val="decimal"/>
      <w:lvlText w:val="%7."/>
      <w:lvlJc w:val="left"/>
      <w:pPr>
        <w:ind w:left="5315" w:hanging="360"/>
      </w:pPr>
      <w:rPr/>
    </w:lvl>
    <w:lvl w:ilvl="7">
      <w:start w:val="1"/>
      <w:numFmt w:val="lowerLetter"/>
      <w:lvlText w:val="%8."/>
      <w:lvlJc w:val="left"/>
      <w:pPr>
        <w:ind w:left="6035" w:hanging="360"/>
      </w:pPr>
      <w:rPr/>
    </w:lvl>
    <w:lvl w:ilvl="8">
      <w:start w:val="1"/>
      <w:numFmt w:val="lowerRoman"/>
      <w:lvlText w:val="%9."/>
      <w:lvlJc w:val="right"/>
      <w:pPr>
        <w:ind w:left="6755" w:hanging="180"/>
      </w:pPr>
      <w:rPr/>
    </w:lvl>
  </w:abstractNum>
  <w:abstractNum w:abstractNumId="5">
    <w:lvl w:ilvl="0">
      <w:start w:val="1"/>
      <w:numFmt w:val="decimal"/>
      <w:lvlText w:val="(%1)"/>
      <w:lvlJc w:val="left"/>
      <w:pPr>
        <w:ind w:left="635" w:hanging="435"/>
      </w:pPr>
      <w:rPr>
        <w:rFonts w:ascii="Bookman Old Style" w:cs="Bookman Old Style" w:eastAsia="Bookman Old Style" w:hAnsi="Bookman Old Style"/>
        <w:sz w:val="24"/>
        <w:szCs w:val="24"/>
      </w:rPr>
    </w:lvl>
    <w:lvl w:ilvl="1">
      <w:start w:val="1"/>
      <w:numFmt w:val="bullet"/>
      <w:lvlText w:val="•"/>
      <w:lvlJc w:val="left"/>
      <w:pPr>
        <w:ind w:left="920" w:hanging="435"/>
      </w:pPr>
      <w:rPr/>
    </w:lvl>
    <w:lvl w:ilvl="2">
      <w:start w:val="1"/>
      <w:numFmt w:val="bullet"/>
      <w:lvlText w:val="•"/>
      <w:lvlJc w:val="left"/>
      <w:pPr>
        <w:ind w:left="1653" w:hanging="435"/>
      </w:pPr>
      <w:rPr/>
    </w:lvl>
    <w:lvl w:ilvl="3">
      <w:start w:val="1"/>
      <w:numFmt w:val="bullet"/>
      <w:lvlText w:val="•"/>
      <w:lvlJc w:val="left"/>
      <w:pPr>
        <w:ind w:left="2386" w:hanging="435"/>
      </w:pPr>
      <w:rPr/>
    </w:lvl>
    <w:lvl w:ilvl="4">
      <w:start w:val="1"/>
      <w:numFmt w:val="bullet"/>
      <w:lvlText w:val="•"/>
      <w:lvlJc w:val="left"/>
      <w:pPr>
        <w:ind w:left="3120" w:hanging="435"/>
      </w:pPr>
      <w:rPr/>
    </w:lvl>
    <w:lvl w:ilvl="5">
      <w:start w:val="1"/>
      <w:numFmt w:val="bullet"/>
      <w:lvlText w:val="•"/>
      <w:lvlJc w:val="left"/>
      <w:pPr>
        <w:ind w:left="3853" w:hanging="435"/>
      </w:pPr>
      <w:rPr/>
    </w:lvl>
    <w:lvl w:ilvl="6">
      <w:start w:val="1"/>
      <w:numFmt w:val="bullet"/>
      <w:lvlText w:val="•"/>
      <w:lvlJc w:val="left"/>
      <w:pPr>
        <w:ind w:left="4587" w:hanging="435"/>
      </w:pPr>
      <w:rPr/>
    </w:lvl>
    <w:lvl w:ilvl="7">
      <w:start w:val="1"/>
      <w:numFmt w:val="bullet"/>
      <w:lvlText w:val="•"/>
      <w:lvlJc w:val="left"/>
      <w:pPr>
        <w:ind w:left="5320" w:hanging="435"/>
      </w:pPr>
      <w:rPr/>
    </w:lvl>
    <w:lvl w:ilvl="8">
      <w:start w:val="1"/>
      <w:numFmt w:val="bullet"/>
      <w:lvlText w:val="•"/>
      <w:lvlJc w:val="left"/>
      <w:pPr>
        <w:ind w:left="6054" w:hanging="435"/>
      </w:pPr>
      <w:rPr/>
    </w:lvl>
  </w:abstractNum>
  <w:abstractNum w:abstractNumId="6">
    <w:lvl w:ilvl="0">
      <w:start w:val="1"/>
      <w:numFmt w:val="lowerLetter"/>
      <w:lvlText w:val="%1."/>
      <w:lvlJc w:val="left"/>
      <w:pPr>
        <w:ind w:left="995" w:hanging="360"/>
      </w:pPr>
      <w:rPr/>
    </w:lvl>
    <w:lvl w:ilvl="1">
      <w:start w:val="1"/>
      <w:numFmt w:val="lowerLetter"/>
      <w:lvlText w:val="%2."/>
      <w:lvlJc w:val="left"/>
      <w:pPr>
        <w:ind w:left="1715" w:hanging="360"/>
      </w:pPr>
      <w:rPr/>
    </w:lvl>
    <w:lvl w:ilvl="2">
      <w:start w:val="1"/>
      <w:numFmt w:val="lowerRoman"/>
      <w:lvlText w:val="%3."/>
      <w:lvlJc w:val="right"/>
      <w:pPr>
        <w:ind w:left="2435" w:hanging="180"/>
      </w:pPr>
      <w:rPr/>
    </w:lvl>
    <w:lvl w:ilvl="3">
      <w:start w:val="1"/>
      <w:numFmt w:val="decimal"/>
      <w:lvlText w:val="%4."/>
      <w:lvlJc w:val="left"/>
      <w:pPr>
        <w:ind w:left="3155" w:hanging="360"/>
      </w:pPr>
      <w:rPr/>
    </w:lvl>
    <w:lvl w:ilvl="4">
      <w:start w:val="1"/>
      <w:numFmt w:val="lowerLetter"/>
      <w:lvlText w:val="%5."/>
      <w:lvlJc w:val="left"/>
      <w:pPr>
        <w:ind w:left="3875" w:hanging="360"/>
      </w:pPr>
      <w:rPr/>
    </w:lvl>
    <w:lvl w:ilvl="5">
      <w:start w:val="1"/>
      <w:numFmt w:val="lowerRoman"/>
      <w:lvlText w:val="%6."/>
      <w:lvlJc w:val="right"/>
      <w:pPr>
        <w:ind w:left="4595" w:hanging="180"/>
      </w:pPr>
      <w:rPr/>
    </w:lvl>
    <w:lvl w:ilvl="6">
      <w:start w:val="1"/>
      <w:numFmt w:val="decimal"/>
      <w:lvlText w:val="%7."/>
      <w:lvlJc w:val="left"/>
      <w:pPr>
        <w:ind w:left="5315" w:hanging="360"/>
      </w:pPr>
      <w:rPr/>
    </w:lvl>
    <w:lvl w:ilvl="7">
      <w:start w:val="1"/>
      <w:numFmt w:val="lowerLetter"/>
      <w:lvlText w:val="%8."/>
      <w:lvlJc w:val="left"/>
      <w:pPr>
        <w:ind w:left="6035" w:hanging="360"/>
      </w:pPr>
      <w:rPr/>
    </w:lvl>
    <w:lvl w:ilvl="8">
      <w:start w:val="1"/>
      <w:numFmt w:val="lowerRoman"/>
      <w:lvlText w:val="%9."/>
      <w:lvlJc w:val="right"/>
      <w:pPr>
        <w:ind w:left="6755" w:hanging="180"/>
      </w:pPr>
      <w:rPr/>
    </w:lvl>
  </w:abstractNum>
  <w:abstractNum w:abstractNumId="7">
    <w:lvl w:ilvl="0">
      <w:start w:val="1"/>
      <w:numFmt w:val="decimal"/>
      <w:lvlText w:val="(%1)"/>
      <w:lvlJc w:val="left"/>
      <w:pPr>
        <w:ind w:left="635" w:hanging="435"/>
      </w:pPr>
      <w:rPr>
        <w:rFonts w:ascii="Bookman Old Style" w:cs="Bookman Old Style" w:eastAsia="Bookman Old Style" w:hAnsi="Bookman Old Style"/>
        <w:sz w:val="24"/>
        <w:szCs w:val="24"/>
      </w:rPr>
    </w:lvl>
    <w:lvl w:ilvl="1">
      <w:start w:val="1"/>
      <w:numFmt w:val="bullet"/>
      <w:lvlText w:val="•"/>
      <w:lvlJc w:val="left"/>
      <w:pPr>
        <w:ind w:left="920" w:hanging="435"/>
      </w:pPr>
      <w:rPr/>
    </w:lvl>
    <w:lvl w:ilvl="2">
      <w:start w:val="1"/>
      <w:numFmt w:val="bullet"/>
      <w:lvlText w:val="•"/>
      <w:lvlJc w:val="left"/>
      <w:pPr>
        <w:ind w:left="1653" w:hanging="435"/>
      </w:pPr>
      <w:rPr/>
    </w:lvl>
    <w:lvl w:ilvl="3">
      <w:start w:val="1"/>
      <w:numFmt w:val="bullet"/>
      <w:lvlText w:val="•"/>
      <w:lvlJc w:val="left"/>
      <w:pPr>
        <w:ind w:left="2386" w:hanging="435"/>
      </w:pPr>
      <w:rPr/>
    </w:lvl>
    <w:lvl w:ilvl="4">
      <w:start w:val="1"/>
      <w:numFmt w:val="bullet"/>
      <w:lvlText w:val="•"/>
      <w:lvlJc w:val="left"/>
      <w:pPr>
        <w:ind w:left="3120" w:hanging="435"/>
      </w:pPr>
      <w:rPr/>
    </w:lvl>
    <w:lvl w:ilvl="5">
      <w:start w:val="1"/>
      <w:numFmt w:val="bullet"/>
      <w:lvlText w:val="•"/>
      <w:lvlJc w:val="left"/>
      <w:pPr>
        <w:ind w:left="3853" w:hanging="435"/>
      </w:pPr>
      <w:rPr/>
    </w:lvl>
    <w:lvl w:ilvl="6">
      <w:start w:val="1"/>
      <w:numFmt w:val="bullet"/>
      <w:lvlText w:val="•"/>
      <w:lvlJc w:val="left"/>
      <w:pPr>
        <w:ind w:left="4587" w:hanging="435"/>
      </w:pPr>
      <w:rPr/>
    </w:lvl>
    <w:lvl w:ilvl="7">
      <w:start w:val="1"/>
      <w:numFmt w:val="bullet"/>
      <w:lvlText w:val="•"/>
      <w:lvlJc w:val="left"/>
      <w:pPr>
        <w:ind w:left="5320" w:hanging="435"/>
      </w:pPr>
      <w:rPr/>
    </w:lvl>
    <w:lvl w:ilvl="8">
      <w:start w:val="1"/>
      <w:numFmt w:val="bullet"/>
      <w:lvlText w:val="•"/>
      <w:lvlJc w:val="left"/>
      <w:pPr>
        <w:ind w:left="6054" w:hanging="435"/>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Bookman Old Style" w:cs="Times New Roman" w:eastAsia="Bookman Old Style" w:hAnsi="Bookman Old Style"/>
      <w:lang w:eastAsia="id"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3302" w:right="321" w:hanging="284"/>
      <w:jc w:val="both"/>
    </w:pPr>
  </w:style>
  <w:style w:type="paragraph" w:styleId="TableParagraph" w:customStyle="1">
    <w:name w:val="Table Paragraph"/>
    <w:basedOn w:val="Normal"/>
    <w:uiPriority w:val="1"/>
    <w:qFormat w:val="1"/>
    <w:pPr>
      <w:ind w:left="920"/>
      <w:jc w:val="both"/>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lVIkj89ioKKWvZ5Z7Y5GnK5BQ==">AMUW2mUit99LB5l6SiY8XKI6c4NqWg8hQohe0mmblM6q8ecJNvbKIdnWfhnaf86GVoirQouRjklCRsUOt/chu+/b1NiBsCLUzK0mxg96yUHmkawEJH07ilsBMi8RHkoNKyhuT64XYQxc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2019-09-02T08:55:00Z</dcterms:created>
  <dc:creator>Subag Hukum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2016-01-14T00:00:00Z</vt:filetime>
  </property>
  <property fmtid="{D5CDD505-2E9C-101B-9397-08002B2CF9AE}" pid="3" name="Creator">
    <vt:lpwstr>Microsoft® Office Word 2007</vt:lpwstr>
  </property>
  <property fmtid="{D5CDD505-2E9C-101B-9397-08002B2CF9AE}" pid="4" name="LastSaved">
    <vt:filetime>2019-09-02T00:00:00Z</vt:filetime>
  </property>
</Properties>
</file>